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biote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gridSpan w:val="2"/>
          </w:tcPr>
          <w:p>
            <w:pPr>
              <w:jc w:val="center"/>
              <w:ind w:left="616"/>
              <w:spacing w:after="0"/>
              <w:rPr>
                <w:sz w:val="20"/>
                <w:szCs w:val="20"/>
                <w:color w:val="auto"/>
              </w:rPr>
            </w:pPr>
            <w:r>
              <w:rPr>
                <w:rFonts w:ascii="Times New Roman" w:cs="Times New Roman" w:eastAsia="Times New Roman" w:hAnsi="Times New Roman"/>
                <w:sz w:val="18"/>
                <w:szCs w:val="18"/>
                <w:b w:val="1"/>
                <w:bCs w:val="1"/>
                <w:color w:val="auto"/>
                <w:w w:val="99"/>
              </w:rPr>
              <w:t>001-40128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85-1791125</w:t>
            </w:r>
          </w:p>
        </w:tc>
        <w:tc>
          <w:tcPr>
            <w:tcW w:w="0" w:type="dxa"/>
            <w:vAlign w:val="bottom"/>
          </w:tcPr>
          <w:p>
            <w:pPr>
              <w:spacing w:after="0"/>
              <w:rPr>
                <w:sz w:val="1"/>
                <w:szCs w:val="1"/>
                <w:color w:val="auto"/>
              </w:rPr>
            </w:pPr>
          </w:p>
        </w:tc>
      </w:tr>
      <w:tr>
        <w:trPr>
          <w:trHeight w:val="148"/>
        </w:trPr>
        <w:tc>
          <w:tcPr>
            <w:tcW w:w="3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93"/>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1875 W. Walnut Hill Ln #100</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Irving, Texas 75038</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480" w:type="dxa"/>
            <w:vAlign w:val="bottom"/>
            <w:gridSpan w:val="6"/>
          </w:tcPr>
          <w:p>
            <w:pPr>
              <w:jc w:val="center"/>
              <w:ind w:left="3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2"/>
          </w:tcPr>
          <w:p>
            <w:pPr>
              <w:jc w:val="center"/>
              <w:ind w:left="396"/>
              <w:spacing w:after="0"/>
              <w:rPr>
                <w:sz w:val="20"/>
                <w:szCs w:val="20"/>
                <w:color w:val="auto"/>
              </w:rPr>
            </w:pPr>
            <w:r>
              <w:rPr>
                <w:rFonts w:ascii="Times New Roman" w:cs="Times New Roman" w:eastAsia="Times New Roman" w:hAnsi="Times New Roman"/>
                <w:sz w:val="18"/>
                <w:szCs w:val="18"/>
                <w:b w:val="1"/>
                <w:bCs w:val="1"/>
                <w:color w:val="auto"/>
                <w:w w:val="99"/>
              </w:rPr>
              <w:t>(844) 604-1246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7480" w:type="dxa"/>
            <w:vAlign w:val="bottom"/>
            <w:gridSpan w:val="6"/>
          </w:tcPr>
          <w:p>
            <w:pPr>
              <w:jc w:val="center"/>
              <w:ind w:left="344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7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24"/>
                <w:szCs w:val="24"/>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BTMD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12, 2026, biote Corp., a Delaware corporation (the “Company”), held its 2026 annual meeting of stockholders (the “Annual Meeting”).</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Below are detailed voting results on each matter voted on which are described in more detail in the Company’s definitive proxy statement for the Annual Meeting filed with the Securities and Exchange Commission on April 2, 2026 (the “Proxy Statement”).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two individuals listed below to serve as Class I directors until the Company’s 2029 annual meeting of stockholders and until their successors are duly elected and qualified or until their earlier death, resignation or removal. The final voting results are as follows: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7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R. Heyer</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22,759,692</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3,960,800</w:t>
            </w:r>
          </w:p>
        </w:tc>
        <w:tc>
          <w:tcPr>
            <w:tcW w:w="3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2,861,704</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Dana Jacoby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23,020,635</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3,699,857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2,861,704</w:t>
            </w:r>
          </w:p>
        </w:tc>
        <w:tc>
          <w:tcPr>
            <w:tcW w:w="60" w:type="dxa"/>
            <w:vAlign w:val="bottom"/>
          </w:tcPr>
          <w:p>
            <w:pPr>
              <w:spacing w:after="0"/>
              <w:rPr>
                <w:sz w:val="20"/>
                <w:szCs w:val="20"/>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Ratification of Appointment of Independent Registered Public Accounting Firm</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of Deloitte &amp; Touche LLP as the Company’s independent registered public accounting firm for the fiscal year ending December 31, 2026. The final voting results are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254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For</w:t>
            </w:r>
          </w:p>
        </w:tc>
        <w:tc>
          <w:tcPr>
            <w:tcW w:w="23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880" w:type="dxa"/>
            <w:vAlign w:val="bottom"/>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54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29,507,419</w:t>
            </w:r>
          </w:p>
        </w:tc>
        <w:tc>
          <w:tcPr>
            <w:tcW w:w="2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67,387</w:t>
            </w:r>
          </w:p>
        </w:tc>
        <w:tc>
          <w:tcPr>
            <w:tcW w:w="20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7,390</w:t>
            </w:r>
          </w:p>
        </w:tc>
        <w:tc>
          <w:tcPr>
            <w:tcW w:w="18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11000"/>
          </w:cols>
          <w:pgMar w:left="440" w:top="293" w:right="45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biote Corp.</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Bret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Bret Christensen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2026-05-18T15:44:17Z</dcterms:created>
  <dcterms:modified xsi:type="dcterms:W3CDTF">2026-05-18T15:44:17Z</dcterms:modified>
</cp:coreProperties>
</file>